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w:t>
      </w:r>
      <w:r>
        <w:rPr>
          <w:rFonts w:hint="eastAsia"/>
          <w:b/>
          <w:sz w:val="24"/>
          <w:szCs w:val="24"/>
          <w:lang w:val="en-US" w:eastAsia="zh-CN"/>
        </w:rPr>
        <w:t>10</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206678</w:t>
      </w:r>
    </w:p>
    <w:p>
      <w:pPr>
        <w:numPr>
          <w:ilvl w:val="0"/>
          <w:numId w:val="0"/>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2 - 12</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Nov</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10.2.4</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Inter-system Load Balancing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lang w:val="en-US" w:eastAsia="zh-CN"/>
        </w:rPr>
        <w:t>In RAN3#109-e, the inter-system load balancing in NR has been discussed and some agreements were reached.</w:t>
      </w:r>
    </w:p>
    <w:p>
      <w:pPr>
        <w:widowControl w:val="0"/>
        <w:spacing w:after="0"/>
        <w:rPr>
          <w:rFonts w:ascii="Calibri" w:hAnsi="Calibri" w:cs="Calibri"/>
          <w:b/>
          <w:bCs/>
          <w:color w:val="00B050"/>
          <w:sz w:val="18"/>
          <w:szCs w:val="24"/>
        </w:rPr>
      </w:pPr>
      <w:r>
        <w:rPr>
          <w:rFonts w:ascii="Calibri" w:hAnsi="Calibri" w:cs="Calibri"/>
          <w:b/>
          <w:bCs/>
          <w:color w:val="00B050"/>
          <w:sz w:val="18"/>
          <w:szCs w:val="24"/>
        </w:rPr>
        <w:t>Introduce Inter System Load Balancing mechanisms on the basis of the solution available in E-UTRAN</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Use S1: eNB CONFIGURATION TRANSFER, S1: MME CONFIGURATION TRANSFER, NG: UL RAN CONFIGURATION TRANSFER and  NG: DL RAN CONFIGURATION TRANSFER for the transfer of inter system load balancing via means of mechanisms that resemble or reuse the SON Configuration Transfer IEs. </w:t>
      </w:r>
      <w:r>
        <w:rPr>
          <w:rFonts w:ascii="Calibri" w:hAnsi="Calibri" w:cs="Calibri"/>
          <w:color w:val="000000"/>
          <w:sz w:val="18"/>
          <w:szCs w:val="24"/>
        </w:rPr>
        <w:t>I</w:t>
      </w:r>
      <w:r>
        <w:rPr>
          <w:rFonts w:ascii="Calibri" w:hAnsi="Calibri" w:cs="Calibri"/>
          <w:b/>
          <w:bCs/>
          <w:color w:val="00B050"/>
          <w:sz w:val="18"/>
          <w:szCs w:val="24"/>
        </w:rPr>
        <w:t>t is FFS whether further details on the signalling part need to be introduced.</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pPr>
        <w:widowControl w:val="0"/>
        <w:spacing w:after="0"/>
        <w:rPr>
          <w:rFonts w:ascii="Calibri" w:hAnsi="Calibri" w:cs="Calibri"/>
          <w:b/>
          <w:bCs/>
          <w:color w:val="00B050"/>
          <w:sz w:val="18"/>
          <w:szCs w:val="24"/>
        </w:rPr>
      </w:pPr>
      <w:r>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signaling. </w:t>
      </w:r>
    </w:p>
    <w:p>
      <w:pPr>
        <w:widowControl w:val="0"/>
        <w:spacing w:after="0"/>
        <w:rPr>
          <w:rFonts w:hint="eastAsia" w:ascii="Calibri" w:hAnsi="Calibri" w:cs="Calibri"/>
          <w:b/>
          <w:bCs/>
          <w:color w:val="00B050"/>
          <w:sz w:val="18"/>
          <w:szCs w:val="24"/>
          <w:lang w:val="en-US" w:eastAsia="zh-CN"/>
        </w:rPr>
      </w:pPr>
    </w:p>
    <w:p>
      <w:pPr>
        <w:jc w:val="both"/>
        <w:rPr>
          <w:rFonts w:hint="default"/>
          <w:lang w:val="en-US" w:eastAsia="zh-CN"/>
        </w:rPr>
      </w:pPr>
      <w:r>
        <w:rPr>
          <w:rFonts w:hint="eastAsia"/>
          <w:lang w:val="en-US" w:eastAsia="zh-CN"/>
        </w:rPr>
        <w:t>In this contribution, we try to provide the detailed signalling of inter-system MLB between NR and LTE. And we will discuss the other MLB metrics for the inter-system MLB.</w:t>
      </w:r>
    </w:p>
    <w:p>
      <w:pPr>
        <w:pStyle w:val="2"/>
      </w:pPr>
      <w:r>
        <w:rPr>
          <w:rFonts w:hint="eastAsia"/>
          <w:lang w:val="en-US" w:eastAsia="zh-CN"/>
        </w:rPr>
        <w:t>Discussion</w:t>
      </w:r>
    </w:p>
    <w:p>
      <w:pPr>
        <w:rPr>
          <w:rFonts w:hint="default"/>
          <w:sz w:val="20"/>
          <w:szCs w:val="20"/>
          <w:lang w:val="en-US" w:eastAsia="zh-CN"/>
        </w:rPr>
      </w:pPr>
      <w:bookmarkStart w:id="3" w:name="OLE_LINK6"/>
      <w:bookmarkStart w:id="4" w:name="OLE_LINK5"/>
      <w:bookmarkStart w:id="5" w:name="OLE_LINK3"/>
      <w:bookmarkStart w:id="6" w:name="OLE_LINK4"/>
      <w:r>
        <w:rPr>
          <w:rFonts w:hint="eastAsia"/>
          <w:sz w:val="20"/>
          <w:szCs w:val="20"/>
          <w:lang w:val="en-US" w:eastAsia="zh-CN"/>
        </w:rPr>
        <w:t>In last meeting, it was agreed that the SON Configuration Transfer IE in UL or DL RAN Configuration Transfer message over NG should be reused or resembled. However, by checking the current IE table of UL RAN Configuration Transfer message and comparing the detailed description of SON Configuration Transfer IE and Inter-system SON Configuration Transfer IE from [1], it seems that the Inter-system SON Configuration Transfer is more straightforward and appropriate to be extended to achieve the function of  Inter-system load balancing.</w:t>
      </w:r>
    </w:p>
    <w:p>
      <w:pPr>
        <w:rPr>
          <w:rFonts w:hint="default"/>
          <w:sz w:val="20"/>
          <w:szCs w:val="20"/>
          <w:lang w:val="en-US" w:eastAsia="zh-CN"/>
        </w:rPr>
      </w:pPr>
      <w:bookmarkStart w:id="7" w:name="OLE_LINK2"/>
      <w:r>
        <w:rPr>
          <w:rFonts w:hint="eastAsia"/>
          <w:sz w:val="20"/>
          <w:szCs w:val="20"/>
          <w:lang w:val="en-US" w:eastAsia="zh-CN"/>
        </w:rPr>
        <w:t>-----------------------------------------------------------TS 38.413-------------------------------------------------------------------------</w:t>
      </w:r>
    </w:p>
    <w:bookmarkEnd w:id="7"/>
    <w:p>
      <w:pPr>
        <w:pStyle w:val="5"/>
      </w:pPr>
      <w:bookmarkStart w:id="8" w:name="_Toc45798360"/>
      <w:bookmarkStart w:id="9" w:name="_Toc29504746"/>
      <w:bookmarkStart w:id="10" w:name="_Toc36554919"/>
      <w:bookmarkStart w:id="11" w:name="_Toc36553192"/>
      <w:bookmarkStart w:id="12" w:name="_Toc45658660"/>
      <w:bookmarkStart w:id="13" w:name="_Toc45720480"/>
      <w:bookmarkStart w:id="14" w:name="_Toc45897749"/>
      <w:bookmarkStart w:id="15" w:name="_Toc51745953"/>
      <w:bookmarkStart w:id="16" w:name="_Toc45652228"/>
      <w:bookmarkStart w:id="17" w:name="_Toc20955132"/>
      <w:bookmarkStart w:id="18" w:name="_Toc29504162"/>
      <w:bookmarkStart w:id="19" w:name="_Toc29503578"/>
      <w:r>
        <w:t>9.2.7.1</w:t>
      </w:r>
      <w:r>
        <w:tab/>
      </w:r>
      <w:r>
        <w:t>UPLINK RAN CONFIGURATION TRANSFER</w:t>
      </w:r>
      <w:bookmarkEnd w:id="8"/>
      <w:bookmarkEnd w:id="9"/>
      <w:bookmarkEnd w:id="10"/>
      <w:bookmarkEnd w:id="11"/>
      <w:bookmarkEnd w:id="12"/>
      <w:bookmarkEnd w:id="13"/>
      <w:bookmarkEnd w:id="14"/>
      <w:bookmarkEnd w:id="15"/>
      <w:bookmarkEnd w:id="16"/>
      <w:bookmarkEnd w:id="17"/>
      <w:bookmarkEnd w:id="18"/>
      <w:bookmarkEnd w:id="19"/>
    </w:p>
    <w:p>
      <w:r>
        <w:t>This message is sent by the NG-RAN node in order to transfer RAN configuration information.</w:t>
      </w:r>
    </w:p>
    <w:p>
      <w:pPr>
        <w:rPr>
          <w:rFonts w:eastAsia="Batang"/>
        </w:rPr>
      </w:pPr>
      <w:r>
        <w:t xml:space="preserve">Direction: NG-RAN node </w:t>
      </w:r>
      <w:r>
        <w:rPr/>
        <w:sym w:font="Symbol" w:char="F0AE"/>
      </w:r>
      <w:r>
        <w:t xml:space="preserve"> AMF</w:t>
      </w:r>
    </w:p>
    <w:tbl>
      <w:tblPr>
        <w:tblStyle w:val="51"/>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77"/>
              <w:rPr>
                <w:rFonts w:cs="Arial"/>
                <w:lang w:eastAsia="ja-JP"/>
              </w:rPr>
            </w:pPr>
            <w:r>
              <w:rPr>
                <w:rFonts w:cs="Arial"/>
                <w:lang w:eastAsia="ja-JP"/>
              </w:rPr>
              <w:t>IE/Group Name</w:t>
            </w:r>
          </w:p>
        </w:tc>
        <w:tc>
          <w:tcPr>
            <w:tcW w:w="1080" w:type="dxa"/>
            <w:noWrap w:val="0"/>
            <w:vAlign w:val="top"/>
          </w:tcPr>
          <w:p>
            <w:pPr>
              <w:pStyle w:val="77"/>
              <w:rPr>
                <w:rFonts w:cs="Arial"/>
                <w:lang w:eastAsia="ja-JP"/>
              </w:rPr>
            </w:pPr>
            <w:r>
              <w:rPr>
                <w:rFonts w:cs="Arial"/>
                <w:lang w:eastAsia="ja-JP"/>
              </w:rPr>
              <w:t>Presence</w:t>
            </w:r>
          </w:p>
        </w:tc>
        <w:tc>
          <w:tcPr>
            <w:tcW w:w="1080" w:type="dxa"/>
            <w:noWrap w:val="0"/>
            <w:vAlign w:val="top"/>
          </w:tcPr>
          <w:p>
            <w:pPr>
              <w:pStyle w:val="77"/>
              <w:rPr>
                <w:rFonts w:cs="Arial"/>
                <w:lang w:eastAsia="ja-JP"/>
              </w:rPr>
            </w:pPr>
            <w:r>
              <w:rPr>
                <w:rFonts w:cs="Arial"/>
                <w:lang w:eastAsia="ja-JP"/>
              </w:rPr>
              <w:t>Range</w:t>
            </w:r>
          </w:p>
        </w:tc>
        <w:tc>
          <w:tcPr>
            <w:tcW w:w="1512" w:type="dxa"/>
            <w:noWrap w:val="0"/>
            <w:vAlign w:val="top"/>
          </w:tcPr>
          <w:p>
            <w:pPr>
              <w:pStyle w:val="77"/>
              <w:rPr>
                <w:rFonts w:cs="Arial"/>
                <w:lang w:eastAsia="ja-JP"/>
              </w:rPr>
            </w:pPr>
            <w:r>
              <w:rPr>
                <w:rFonts w:cs="Arial"/>
                <w:lang w:eastAsia="ja-JP"/>
              </w:rPr>
              <w:t>IE type and reference</w:t>
            </w:r>
          </w:p>
        </w:tc>
        <w:tc>
          <w:tcPr>
            <w:tcW w:w="1728" w:type="dxa"/>
            <w:noWrap w:val="0"/>
            <w:vAlign w:val="top"/>
          </w:tcPr>
          <w:p>
            <w:pPr>
              <w:pStyle w:val="77"/>
              <w:rPr>
                <w:rFonts w:cs="Arial"/>
                <w:lang w:eastAsia="ja-JP"/>
              </w:rPr>
            </w:pPr>
            <w:r>
              <w:rPr>
                <w:rFonts w:cs="Arial"/>
                <w:lang w:eastAsia="ja-JP"/>
              </w:rPr>
              <w:t>Semantics description</w:t>
            </w:r>
          </w:p>
        </w:tc>
        <w:tc>
          <w:tcPr>
            <w:tcW w:w="1080" w:type="dxa"/>
            <w:noWrap w:val="0"/>
            <w:vAlign w:val="top"/>
          </w:tcPr>
          <w:p>
            <w:pPr>
              <w:pStyle w:val="77"/>
              <w:rPr>
                <w:rFonts w:cs="Arial"/>
                <w:lang w:eastAsia="ja-JP"/>
              </w:rPr>
            </w:pPr>
            <w:r>
              <w:rPr>
                <w:rFonts w:cs="Arial"/>
                <w:lang w:eastAsia="ja-JP"/>
              </w:rPr>
              <w:t>Criticality</w:t>
            </w:r>
          </w:p>
        </w:tc>
        <w:tc>
          <w:tcPr>
            <w:tcW w:w="1080" w:type="dxa"/>
            <w:noWrap w:val="0"/>
            <w:vAlign w:val="top"/>
          </w:tcPr>
          <w:p>
            <w:pPr>
              <w:pStyle w:val="77"/>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cs="Arial"/>
                <w:lang w:eastAsia="ja-JP"/>
              </w:rPr>
            </w:pPr>
            <w:r>
              <w:rPr>
                <w:rFonts w:cs="Arial"/>
                <w:lang w:eastAsia="ja-JP"/>
              </w:rPr>
              <w:t>Message Type</w:t>
            </w:r>
          </w:p>
        </w:tc>
        <w:tc>
          <w:tcPr>
            <w:tcW w:w="1080" w:type="dxa"/>
            <w:noWrap w:val="0"/>
            <w:vAlign w:val="top"/>
          </w:tcPr>
          <w:p>
            <w:pPr>
              <w:pStyle w:val="63"/>
              <w:rPr>
                <w:rFonts w:cs="Arial"/>
                <w:lang w:eastAsia="ja-JP"/>
              </w:rPr>
            </w:pPr>
            <w:r>
              <w:rPr>
                <w:rFonts w:cs="Arial"/>
                <w:lang w:eastAsia="ja-JP"/>
              </w:rPr>
              <w:t>M</w:t>
            </w:r>
          </w:p>
        </w:tc>
        <w:tc>
          <w:tcPr>
            <w:tcW w:w="1080" w:type="dxa"/>
            <w:noWrap w:val="0"/>
            <w:vAlign w:val="top"/>
          </w:tcPr>
          <w:p>
            <w:pPr>
              <w:pStyle w:val="63"/>
              <w:rPr>
                <w:rFonts w:cs="Arial"/>
                <w:lang w:eastAsia="ja-JP"/>
              </w:rPr>
            </w:pPr>
          </w:p>
        </w:tc>
        <w:tc>
          <w:tcPr>
            <w:tcW w:w="1512" w:type="dxa"/>
            <w:noWrap w:val="0"/>
            <w:vAlign w:val="top"/>
          </w:tcPr>
          <w:p>
            <w:pPr>
              <w:pStyle w:val="63"/>
              <w:rPr>
                <w:rFonts w:cs="Arial"/>
                <w:lang w:eastAsia="ja-JP"/>
              </w:rPr>
            </w:pPr>
            <w:r>
              <w:rPr>
                <w:rFonts w:cs="Arial"/>
                <w:lang w:eastAsia="ja-JP"/>
              </w:rPr>
              <w:t>9.3.1.1</w:t>
            </w:r>
          </w:p>
        </w:tc>
        <w:tc>
          <w:tcPr>
            <w:tcW w:w="1728" w:type="dxa"/>
            <w:noWrap w:val="0"/>
            <w:vAlign w:val="top"/>
          </w:tcPr>
          <w:p>
            <w:pPr>
              <w:pStyle w:val="63"/>
              <w:rPr>
                <w:rFonts w:cs="Arial"/>
                <w:lang w:eastAsia="ja-JP"/>
              </w:rPr>
            </w:pPr>
          </w:p>
        </w:tc>
        <w:tc>
          <w:tcPr>
            <w:tcW w:w="1080" w:type="dxa"/>
            <w:noWrap w:val="0"/>
            <w:vAlign w:val="top"/>
          </w:tcPr>
          <w:p>
            <w:pPr>
              <w:pStyle w:val="63"/>
              <w:jc w:val="center"/>
              <w:rPr>
                <w:rFonts w:cs="Arial"/>
                <w:lang w:eastAsia="ja-JP"/>
              </w:rPr>
            </w:pPr>
            <w:r>
              <w:rPr>
                <w:rFonts w:cs="Arial"/>
                <w:lang w:eastAsia="ja-JP"/>
              </w:rPr>
              <w:t>YES</w:t>
            </w:r>
          </w:p>
        </w:tc>
        <w:tc>
          <w:tcPr>
            <w:tcW w:w="1080"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MS Mincho" w:cs="Arial"/>
                <w:lang w:eastAsia="ja-JP"/>
              </w:rPr>
            </w:pPr>
            <w:r>
              <w:rPr>
                <w:rFonts w:eastAsia="Batang" w:cs="Arial"/>
                <w:bCs/>
                <w:highlight w:val="none"/>
                <w:lang w:eastAsia="ja-JP"/>
              </w:rPr>
              <w:t>SON Configuration Transfer</w:t>
            </w:r>
          </w:p>
        </w:tc>
        <w:tc>
          <w:tcPr>
            <w:tcW w:w="1080" w:type="dxa"/>
            <w:noWrap w:val="0"/>
            <w:vAlign w:val="top"/>
          </w:tcPr>
          <w:p>
            <w:pPr>
              <w:pStyle w:val="63"/>
              <w:rPr>
                <w:rFonts w:eastAsia="MS Mincho" w:cs="Arial"/>
                <w:lang w:eastAsia="ja-JP"/>
              </w:rPr>
            </w:pPr>
            <w:r>
              <w:rPr>
                <w:rFonts w:cs="Arial"/>
                <w:lang w:eastAsia="ja-JP"/>
              </w:rPr>
              <w:t>O</w:t>
            </w:r>
          </w:p>
        </w:tc>
        <w:tc>
          <w:tcPr>
            <w:tcW w:w="1080" w:type="dxa"/>
            <w:noWrap w:val="0"/>
            <w:vAlign w:val="top"/>
          </w:tcPr>
          <w:p>
            <w:pPr>
              <w:pStyle w:val="63"/>
              <w:rPr>
                <w:rFonts w:cs="Arial"/>
                <w:lang w:eastAsia="ja-JP"/>
              </w:rPr>
            </w:pPr>
          </w:p>
        </w:tc>
        <w:tc>
          <w:tcPr>
            <w:tcW w:w="1512" w:type="dxa"/>
            <w:noWrap w:val="0"/>
            <w:vAlign w:val="top"/>
          </w:tcPr>
          <w:p>
            <w:pPr>
              <w:pStyle w:val="63"/>
              <w:rPr>
                <w:rFonts w:cs="Arial"/>
                <w:lang w:eastAsia="ja-JP"/>
              </w:rPr>
            </w:pPr>
            <w:r>
              <w:rPr>
                <w:rFonts w:cs="Arial"/>
                <w:lang w:eastAsia="ja-JP"/>
              </w:rPr>
              <w:t>9.3.3.6</w:t>
            </w:r>
          </w:p>
        </w:tc>
        <w:tc>
          <w:tcPr>
            <w:tcW w:w="1728" w:type="dxa"/>
            <w:noWrap w:val="0"/>
            <w:vAlign w:val="top"/>
          </w:tcPr>
          <w:p>
            <w:pPr>
              <w:pStyle w:val="63"/>
              <w:rPr>
                <w:rFonts w:cs="Arial"/>
                <w:lang w:eastAsia="ja-JP"/>
              </w:rPr>
            </w:pPr>
          </w:p>
        </w:tc>
        <w:tc>
          <w:tcPr>
            <w:tcW w:w="1080" w:type="dxa"/>
            <w:noWrap w:val="0"/>
            <w:vAlign w:val="top"/>
          </w:tcPr>
          <w:p>
            <w:pPr>
              <w:pStyle w:val="63"/>
              <w:jc w:val="center"/>
              <w:rPr>
                <w:rFonts w:eastAsia="MS Mincho" w:cs="Arial"/>
                <w:lang w:eastAsia="ja-JP"/>
              </w:rPr>
            </w:pPr>
            <w:r>
              <w:rPr>
                <w:rFonts w:eastAsia="MS Mincho" w:cs="Arial"/>
                <w:lang w:eastAsia="ja-JP"/>
              </w:rPr>
              <w:t>YES</w:t>
            </w:r>
          </w:p>
        </w:tc>
        <w:tc>
          <w:tcPr>
            <w:tcW w:w="1080"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Batang" w:cs="Arial"/>
                <w:bCs/>
                <w:lang w:eastAsia="ja-JP"/>
              </w:rPr>
            </w:pPr>
            <w:r>
              <w:rPr>
                <w:rFonts w:eastAsia="Batang" w:cs="Arial"/>
                <w:bCs/>
                <w:lang w:eastAsia="ja-JP"/>
              </w:rPr>
              <w:t>EN-DC SON Configuration Transfer</w:t>
            </w:r>
          </w:p>
        </w:tc>
        <w:tc>
          <w:tcPr>
            <w:tcW w:w="1080" w:type="dxa"/>
            <w:noWrap w:val="0"/>
            <w:vAlign w:val="top"/>
          </w:tcPr>
          <w:p>
            <w:pPr>
              <w:pStyle w:val="63"/>
              <w:rPr>
                <w:rFonts w:cs="Arial"/>
                <w:lang w:eastAsia="ja-JP"/>
              </w:rPr>
            </w:pPr>
            <w:r>
              <w:rPr>
                <w:rFonts w:cs="Arial"/>
                <w:lang w:eastAsia="ja-JP"/>
              </w:rPr>
              <w:t>O</w:t>
            </w:r>
          </w:p>
        </w:tc>
        <w:tc>
          <w:tcPr>
            <w:tcW w:w="1080" w:type="dxa"/>
            <w:noWrap w:val="0"/>
            <w:vAlign w:val="top"/>
          </w:tcPr>
          <w:p>
            <w:pPr>
              <w:pStyle w:val="63"/>
              <w:rPr>
                <w:rFonts w:cs="Arial"/>
                <w:lang w:eastAsia="ja-JP"/>
              </w:rPr>
            </w:pPr>
          </w:p>
        </w:tc>
        <w:tc>
          <w:tcPr>
            <w:tcW w:w="1512" w:type="dxa"/>
            <w:noWrap w:val="0"/>
            <w:vAlign w:val="top"/>
          </w:tcPr>
          <w:p>
            <w:pPr>
              <w:pStyle w:val="63"/>
              <w:rPr>
                <w:rFonts w:cs="Arial"/>
                <w:lang w:eastAsia="ja-JP"/>
              </w:rPr>
            </w:pPr>
            <w:r>
              <w:rPr>
                <w:rFonts w:cs="Arial"/>
                <w:lang w:eastAsia="ja-JP"/>
              </w:rPr>
              <w:t>OCTET STRING</w:t>
            </w:r>
          </w:p>
        </w:tc>
        <w:tc>
          <w:tcPr>
            <w:tcW w:w="1728" w:type="dxa"/>
            <w:noWrap w:val="0"/>
            <w:vAlign w:val="top"/>
          </w:tcPr>
          <w:p>
            <w:pPr>
              <w:pStyle w:val="63"/>
              <w:rPr>
                <w:rFonts w:cs="Arial"/>
                <w:lang w:eastAsia="ja-JP"/>
              </w:rPr>
            </w:pPr>
            <w:r>
              <w:rPr>
                <w:rFonts w:cs="Arial"/>
                <w:lang w:eastAsia="ja-JP"/>
              </w:rPr>
              <w:t xml:space="preserve">Contains the </w:t>
            </w:r>
            <w:r>
              <w:rPr>
                <w:rFonts w:cs="Arial"/>
                <w:i/>
                <w:lang w:eastAsia="ja-JP"/>
              </w:rPr>
              <w:t>EN-DC SON Configuration Transfer</w:t>
            </w:r>
            <w:r>
              <w:rPr>
                <w:rFonts w:cs="Arial"/>
                <w:lang w:eastAsia="ja-JP"/>
              </w:rPr>
              <w:t xml:space="preserve"> IE as defined in TS 36.413 [16].</w:t>
            </w:r>
          </w:p>
        </w:tc>
        <w:tc>
          <w:tcPr>
            <w:tcW w:w="1080" w:type="dxa"/>
            <w:noWrap w:val="0"/>
            <w:vAlign w:val="top"/>
          </w:tcPr>
          <w:p>
            <w:pPr>
              <w:pStyle w:val="63"/>
              <w:jc w:val="center"/>
              <w:rPr>
                <w:rFonts w:eastAsia="MS Mincho" w:cs="Arial"/>
                <w:lang w:eastAsia="ja-JP"/>
              </w:rPr>
            </w:pPr>
            <w:r>
              <w:rPr>
                <w:rFonts w:eastAsia="MS Mincho" w:cs="Arial"/>
                <w:lang w:eastAsia="ja-JP"/>
              </w:rPr>
              <w:t>YES</w:t>
            </w:r>
          </w:p>
        </w:tc>
        <w:tc>
          <w:tcPr>
            <w:tcW w:w="1080" w:type="dxa"/>
            <w:noWrap w:val="0"/>
            <w:vAlign w:val="top"/>
          </w:tcPr>
          <w:p>
            <w:pPr>
              <w:pStyle w:val="63"/>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Batang" w:cs="Arial"/>
                <w:bCs/>
                <w:lang w:eastAsia="ja-JP"/>
              </w:rPr>
            </w:pPr>
            <w:r>
              <w:rPr>
                <w:rFonts w:eastAsia="Batang" w:cs="Arial"/>
                <w:bCs/>
                <w:highlight w:val="yellow"/>
                <w:lang w:eastAsia="ja-JP"/>
              </w:rPr>
              <w:t>Inter-system SON Configuration Transfer</w:t>
            </w:r>
          </w:p>
        </w:tc>
        <w:tc>
          <w:tcPr>
            <w:tcW w:w="1080" w:type="dxa"/>
            <w:noWrap w:val="0"/>
            <w:vAlign w:val="top"/>
          </w:tcPr>
          <w:p>
            <w:pPr>
              <w:pStyle w:val="63"/>
              <w:rPr>
                <w:rFonts w:cs="Arial"/>
                <w:lang w:eastAsia="ja-JP"/>
              </w:rPr>
            </w:pPr>
            <w:r>
              <w:rPr>
                <w:rFonts w:cs="Arial"/>
                <w:lang w:eastAsia="ja-JP"/>
              </w:rPr>
              <w:t>O</w:t>
            </w:r>
          </w:p>
        </w:tc>
        <w:tc>
          <w:tcPr>
            <w:tcW w:w="1080" w:type="dxa"/>
            <w:noWrap w:val="0"/>
            <w:vAlign w:val="top"/>
          </w:tcPr>
          <w:p>
            <w:pPr>
              <w:pStyle w:val="63"/>
              <w:rPr>
                <w:rFonts w:cs="Arial"/>
                <w:lang w:eastAsia="ja-JP"/>
              </w:rPr>
            </w:pPr>
          </w:p>
        </w:tc>
        <w:tc>
          <w:tcPr>
            <w:tcW w:w="1512" w:type="dxa"/>
            <w:noWrap w:val="0"/>
            <w:vAlign w:val="top"/>
          </w:tcPr>
          <w:p>
            <w:pPr>
              <w:pStyle w:val="63"/>
              <w:rPr>
                <w:rFonts w:cs="Arial"/>
                <w:lang w:eastAsia="ja-JP"/>
              </w:rPr>
            </w:pPr>
            <w:bookmarkStart w:id="20" w:name="_Hlk44329743"/>
            <w:r>
              <w:rPr>
                <w:rFonts w:cs="Arial"/>
                <w:lang w:eastAsia="ja-JP"/>
              </w:rPr>
              <w:t>9.3.3.</w:t>
            </w:r>
            <w:bookmarkEnd w:id="20"/>
            <w:r>
              <w:rPr>
                <w:rFonts w:cs="Arial"/>
                <w:lang w:eastAsia="ja-JP"/>
              </w:rPr>
              <w:t>33</w:t>
            </w:r>
          </w:p>
        </w:tc>
        <w:tc>
          <w:tcPr>
            <w:tcW w:w="1728" w:type="dxa"/>
            <w:noWrap w:val="0"/>
            <w:vAlign w:val="top"/>
          </w:tcPr>
          <w:p>
            <w:pPr>
              <w:pStyle w:val="63"/>
              <w:rPr>
                <w:rFonts w:cs="Arial"/>
                <w:lang w:eastAsia="ja-JP"/>
              </w:rPr>
            </w:pPr>
          </w:p>
        </w:tc>
        <w:tc>
          <w:tcPr>
            <w:tcW w:w="1080" w:type="dxa"/>
            <w:noWrap w:val="0"/>
            <w:vAlign w:val="top"/>
          </w:tcPr>
          <w:p>
            <w:pPr>
              <w:pStyle w:val="75"/>
              <w:rPr>
                <w:rFonts w:eastAsia="MS Mincho"/>
                <w:lang w:eastAsia="ja-JP"/>
              </w:rPr>
            </w:pPr>
            <w:r>
              <w:rPr>
                <w:rFonts w:eastAsia="MS Mincho"/>
                <w:lang w:eastAsia="ja-JP"/>
              </w:rPr>
              <w:t>YES</w:t>
            </w:r>
          </w:p>
        </w:tc>
        <w:tc>
          <w:tcPr>
            <w:tcW w:w="1080" w:type="dxa"/>
            <w:noWrap w:val="0"/>
            <w:vAlign w:val="top"/>
          </w:tcPr>
          <w:p>
            <w:pPr>
              <w:pStyle w:val="75"/>
              <w:rPr>
                <w:lang w:eastAsia="ja-JP"/>
              </w:rPr>
            </w:pPr>
            <w:r>
              <w:rPr>
                <w:lang w:eastAsia="ja-JP"/>
              </w:rPr>
              <w:t>ignore</w:t>
            </w:r>
          </w:p>
        </w:tc>
      </w:tr>
    </w:tbl>
    <w:p>
      <w:pPr>
        <w:rPr>
          <w:rFonts w:hint="eastAsia"/>
          <w:sz w:val="20"/>
          <w:szCs w:val="20"/>
          <w:lang w:val="en-US" w:eastAsia="zh-CN"/>
        </w:rPr>
      </w:pPr>
    </w:p>
    <w:p>
      <w:pPr>
        <w:rPr>
          <w:rFonts w:hint="eastAsia"/>
          <w:sz w:val="20"/>
          <w:szCs w:val="20"/>
          <w:lang w:val="en-US" w:eastAsia="zh-CN"/>
        </w:rPr>
      </w:pPr>
    </w:p>
    <w:p>
      <w:pPr>
        <w:pStyle w:val="5"/>
        <w:numPr>
          <w:ilvl w:val="3"/>
          <w:numId w:val="0"/>
        </w:numPr>
        <w:tabs>
          <w:tab w:val="clear" w:pos="864"/>
        </w:tabs>
        <w:ind w:leftChars="0" w:firstLine="480" w:firstLineChars="200"/>
      </w:pPr>
      <w:bookmarkStart w:id="21" w:name="_Hlk44336508"/>
      <w:bookmarkStart w:id="22" w:name="_Toc13759721"/>
      <w:bookmarkStart w:id="23" w:name="_Toc45798639"/>
      <w:bookmarkStart w:id="24" w:name="_Toc45898028"/>
      <w:bookmarkStart w:id="25" w:name="_Toc51746233"/>
      <w:bookmarkStart w:id="26" w:name="_Toc45652509"/>
      <w:bookmarkStart w:id="27" w:name="_Toc45658941"/>
      <w:bookmarkStart w:id="28" w:name="_Toc45720761"/>
      <w:r>
        <w:t>9.3.3</w:t>
      </w:r>
      <w:bookmarkEnd w:id="21"/>
      <w:r>
        <w:t>.33</w:t>
      </w:r>
      <w:bookmarkEnd w:id="22"/>
      <w:r>
        <w:rPr>
          <w:rFonts w:hint="eastAsia"/>
          <w:lang w:val="en-US" w:eastAsia="zh-CN"/>
        </w:rPr>
        <w:t xml:space="preserve">  </w:t>
      </w:r>
      <w:r>
        <w:rPr>
          <w:rFonts w:eastAsia="Batang" w:cs="Arial"/>
          <w:bCs/>
          <w:lang w:eastAsia="ja-JP"/>
        </w:rPr>
        <w:t>Inter-system SON Configuration Transfer</w:t>
      </w:r>
      <w:bookmarkEnd w:id="23"/>
      <w:bookmarkEnd w:id="24"/>
      <w:bookmarkEnd w:id="25"/>
      <w:bookmarkEnd w:id="26"/>
      <w:bookmarkEnd w:id="27"/>
      <w:bookmarkEnd w:id="28"/>
    </w:p>
    <w:p>
      <w:r>
        <w:t xml:space="preserve">This IE contains the </w:t>
      </w:r>
      <w:r>
        <w:rPr>
          <w:highlight w:val="yellow"/>
        </w:rPr>
        <w:t>configuration information, used by e.g., SON functionality, transmitted between an NG-RAN node and an eNB</w:t>
      </w:r>
      <w:r>
        <w:t xml:space="preserve"> and additionally includes the node identifier of the destination of this configuration information and the node identifier of the source of this information.</w:t>
      </w:r>
    </w:p>
    <w:tbl>
      <w:tblPr>
        <w:tblStyle w:val="51"/>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77"/>
              <w:rPr>
                <w:rFonts w:cs="Arial"/>
                <w:lang w:eastAsia="ja-JP"/>
              </w:rPr>
            </w:pPr>
            <w:r>
              <w:rPr>
                <w:rFonts w:cs="Arial"/>
                <w:lang w:eastAsia="ja-JP"/>
              </w:rPr>
              <w:t>IE/Group Name</w:t>
            </w:r>
          </w:p>
        </w:tc>
        <w:tc>
          <w:tcPr>
            <w:tcW w:w="1020" w:type="dxa"/>
            <w:noWrap w:val="0"/>
            <w:vAlign w:val="top"/>
          </w:tcPr>
          <w:p>
            <w:pPr>
              <w:pStyle w:val="77"/>
              <w:rPr>
                <w:rFonts w:cs="Arial"/>
                <w:lang w:eastAsia="ja-JP"/>
              </w:rPr>
            </w:pPr>
            <w:r>
              <w:rPr>
                <w:rFonts w:cs="Arial"/>
                <w:lang w:eastAsia="ja-JP"/>
              </w:rPr>
              <w:t>Presence</w:t>
            </w:r>
          </w:p>
        </w:tc>
        <w:tc>
          <w:tcPr>
            <w:tcW w:w="1474" w:type="dxa"/>
            <w:noWrap w:val="0"/>
            <w:vAlign w:val="top"/>
          </w:tcPr>
          <w:p>
            <w:pPr>
              <w:pStyle w:val="77"/>
              <w:rPr>
                <w:rFonts w:cs="Arial"/>
                <w:lang w:eastAsia="ja-JP"/>
              </w:rPr>
            </w:pPr>
            <w:r>
              <w:rPr>
                <w:rFonts w:cs="Arial"/>
                <w:lang w:eastAsia="ja-JP"/>
              </w:rPr>
              <w:t>Range</w:t>
            </w:r>
          </w:p>
        </w:tc>
        <w:tc>
          <w:tcPr>
            <w:tcW w:w="1871" w:type="dxa"/>
            <w:noWrap w:val="0"/>
            <w:vAlign w:val="top"/>
          </w:tcPr>
          <w:p>
            <w:pPr>
              <w:pStyle w:val="77"/>
              <w:rPr>
                <w:rFonts w:cs="Arial"/>
                <w:lang w:eastAsia="ja-JP"/>
              </w:rPr>
            </w:pPr>
            <w:r>
              <w:rPr>
                <w:rFonts w:cs="Arial"/>
                <w:lang w:eastAsia="ja-JP"/>
              </w:rPr>
              <w:t>IE type and reference</w:t>
            </w:r>
          </w:p>
        </w:tc>
        <w:tc>
          <w:tcPr>
            <w:tcW w:w="2891" w:type="dxa"/>
            <w:noWrap w:val="0"/>
            <w:vAlign w:val="top"/>
          </w:tcPr>
          <w:p>
            <w:pPr>
              <w:pStyle w:val="77"/>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rPr>
                <w:rFonts w:cs="Arial"/>
                <w:lang w:eastAsia="ja-JP"/>
              </w:rPr>
            </w:pPr>
            <w:r>
              <w:rPr>
                <w:rFonts w:cs="Arial"/>
                <w:lang w:eastAsia="ja-JP"/>
              </w:rPr>
              <w:t xml:space="preserve">CHOICE </w:t>
            </w:r>
            <w:r>
              <w:rPr>
                <w:rFonts w:cs="Arial"/>
                <w:i/>
                <w:lang w:eastAsia="ja-JP"/>
              </w:rPr>
              <w:t>Transfer Type</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74"/>
              <w:rPr>
                <w:rFonts w:cs="Arial"/>
                <w:lang w:eastAsia="ja-JP"/>
              </w:rPr>
            </w:pPr>
            <w:r>
              <w:rPr>
                <w:rFonts w:cs="Arial"/>
                <w:lang w:eastAsia="ja-JP"/>
              </w:rPr>
              <w:t>&gt;</w:t>
            </w:r>
            <w:r>
              <w:rPr>
                <w:rFonts w:cs="Arial"/>
                <w:i/>
                <w:lang w:eastAsia="ja-JP"/>
              </w:rPr>
              <w:t>from E-UTRAN to NG-RAN</w:t>
            </w:r>
          </w:p>
        </w:tc>
        <w:tc>
          <w:tcPr>
            <w:tcW w:w="1020" w:type="dxa"/>
            <w:noWrap w:val="0"/>
            <w:vAlign w:val="top"/>
          </w:tcPr>
          <w:p>
            <w:pPr>
              <w:pStyle w:val="63"/>
              <w:rPr>
                <w:rFonts w:cs="Arial"/>
                <w:lang w:eastAsia="ja-JP"/>
              </w:rPr>
            </w:pP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&gt;&gt;Source eNB-ID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eNB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9.3.1.165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EPS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EPS TAI</w:t>
            </w:r>
          </w:p>
          <w:p>
            <w:pPr>
              <w:pStyle w:val="63"/>
              <w:rPr>
                <w:rFonts w:cs="Arial"/>
                <w:lang w:eastAsia="ja-JP"/>
              </w:rPr>
            </w:pPr>
            <w:r>
              <w:rPr>
                <w:rFonts w:cs="Arial"/>
                <w:lang w:eastAsia="ja-JP"/>
              </w:rPr>
              <w:t>9.3.3.17</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&gt;&gt;Target NG-RAN node 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RAN Node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t>9.3.1.5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TAI</w:t>
            </w:r>
          </w:p>
          <w:p>
            <w:pPr>
              <w:pStyle w:val="63"/>
              <w:rPr>
                <w:rFonts w:cs="Arial"/>
                <w:lang w:eastAsia="ja-JP"/>
              </w:rPr>
            </w:pPr>
            <w:r>
              <w:rPr>
                <w:rFonts w:cs="Arial"/>
                <w:lang w:eastAsia="ja-JP"/>
              </w:rPr>
              <w:t>9.3.3.11</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74"/>
              <w:rPr>
                <w:rFonts w:cs="Arial"/>
                <w:lang w:eastAsia="ja-JP"/>
              </w:rPr>
            </w:pPr>
            <w:r>
              <w:rPr>
                <w:rFonts w:cs="Arial"/>
                <w:lang w:eastAsia="ja-JP"/>
              </w:rPr>
              <w:t>&gt;</w:t>
            </w:r>
            <w:r>
              <w:rPr>
                <w:rFonts w:cs="Arial"/>
                <w:i/>
                <w:lang w:eastAsia="ja-JP"/>
              </w:rPr>
              <w:t>from NG-RAN to E-UTRAN</w:t>
            </w:r>
          </w:p>
        </w:tc>
        <w:tc>
          <w:tcPr>
            <w:tcW w:w="1020" w:type="dxa"/>
            <w:noWrap w:val="0"/>
            <w:vAlign w:val="top"/>
          </w:tcPr>
          <w:p>
            <w:pPr>
              <w:pStyle w:val="63"/>
              <w:rPr>
                <w:rFonts w:cs="Arial"/>
                <w:lang w:eastAsia="ja-JP"/>
              </w:rPr>
            </w:pP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&gt;&gt;Source NG-RAN Node 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RAN Node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t>9.3.1.5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TAI</w:t>
            </w:r>
          </w:p>
          <w:p>
            <w:pPr>
              <w:pStyle w:val="63"/>
              <w:rPr>
                <w:rFonts w:cs="Arial"/>
                <w:lang w:eastAsia="ja-JP"/>
              </w:rPr>
            </w:pPr>
            <w:r>
              <w:rPr>
                <w:rFonts w:cs="Arial"/>
                <w:lang w:eastAsia="ja-JP"/>
              </w:rPr>
              <w:t>9.3.3.11</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164"/>
              <w:rPr>
                <w:rFonts w:cs="Arial"/>
                <w:b/>
                <w:lang w:eastAsia="ja-JP"/>
              </w:rPr>
            </w:pPr>
            <w:r>
              <w:rPr>
                <w:rFonts w:cs="Arial"/>
                <w:b/>
                <w:lang w:eastAsia="ja-JP"/>
              </w:rPr>
              <w:t>&gt;&gt;Target eNB-ID</w:t>
            </w:r>
          </w:p>
        </w:tc>
        <w:tc>
          <w:tcPr>
            <w:tcW w:w="1020" w:type="dxa"/>
            <w:noWrap w:val="0"/>
            <w:vAlign w:val="top"/>
          </w:tcPr>
          <w:p>
            <w:pPr>
              <w:pStyle w:val="63"/>
              <w:rPr>
                <w:rFonts w:cs="Arial"/>
                <w:lang w:eastAsia="ja-JP"/>
              </w:rPr>
            </w:pPr>
          </w:p>
        </w:tc>
        <w:tc>
          <w:tcPr>
            <w:tcW w:w="1474" w:type="dxa"/>
            <w:noWrap w:val="0"/>
            <w:vAlign w:val="top"/>
          </w:tcPr>
          <w:p>
            <w:pPr>
              <w:pStyle w:val="63"/>
              <w:rPr>
                <w:rFonts w:cs="Arial"/>
                <w:i/>
                <w:lang w:eastAsia="ja-JP"/>
              </w:rPr>
            </w:pPr>
            <w:r>
              <w:rPr>
                <w:rFonts w:cs="Arial"/>
                <w:i/>
                <w:lang w:eastAsia="ja-JP"/>
              </w:rPr>
              <w:t>1</w:t>
            </w:r>
          </w:p>
        </w:tc>
        <w:tc>
          <w:tcPr>
            <w:tcW w:w="1871" w:type="dxa"/>
            <w:noWrap w:val="0"/>
            <w:vAlign w:val="top"/>
          </w:tcPr>
          <w:p>
            <w:pPr>
              <w:pStyle w:val="63"/>
              <w:rPr>
                <w:rFonts w:cs="Arial"/>
                <w:lang w:eastAsia="ja-JP"/>
              </w:rPr>
            </w:pP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&gt;&gt;&gt;Global eNB ID</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9.3.1.165</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55"/>
              <w:rPr>
                <w:rFonts w:cs="Arial"/>
                <w:lang w:eastAsia="ja-JP"/>
              </w:rPr>
            </w:pPr>
            <w:r>
              <w:rPr>
                <w:rFonts w:cs="Arial"/>
                <w:lang w:eastAsia="ja-JP"/>
              </w:rPr>
              <w:t>&gt;&gt;&gt;Selected EPS TAI</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EPS TAI</w:t>
            </w:r>
          </w:p>
          <w:p>
            <w:pPr>
              <w:pStyle w:val="63"/>
              <w:rPr>
                <w:rFonts w:cs="Arial"/>
                <w:lang w:eastAsia="ja-JP"/>
              </w:rPr>
            </w:pPr>
            <w:r>
              <w:rPr>
                <w:rFonts w:cs="Arial"/>
                <w:lang w:eastAsia="ja-JP"/>
              </w:rPr>
              <w:t>9.3.3.17</w:t>
            </w:r>
          </w:p>
        </w:tc>
        <w:tc>
          <w:tcPr>
            <w:tcW w:w="2891" w:type="dxa"/>
            <w:noWrap w:val="0"/>
            <w:vAlign w:val="top"/>
          </w:tcPr>
          <w:p>
            <w:pPr>
              <w:pStyle w:val="6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rPr>
                <w:rFonts w:cs="Arial"/>
                <w:lang w:eastAsia="ja-JP"/>
              </w:rPr>
            </w:pPr>
            <w:r>
              <w:t>Inter-system SON Information</w:t>
            </w:r>
          </w:p>
        </w:tc>
        <w:tc>
          <w:tcPr>
            <w:tcW w:w="1020" w:type="dxa"/>
            <w:noWrap w:val="0"/>
            <w:vAlign w:val="top"/>
          </w:tcPr>
          <w:p>
            <w:pPr>
              <w:pStyle w:val="63"/>
              <w:rPr>
                <w:rFonts w:cs="Arial"/>
                <w:lang w:eastAsia="ja-JP"/>
              </w:rPr>
            </w:pPr>
            <w:r>
              <w:rPr>
                <w:rFonts w:cs="Arial"/>
                <w:lang w:eastAsia="ja-JP"/>
              </w:rPr>
              <w:t>M</w:t>
            </w:r>
          </w:p>
        </w:tc>
        <w:tc>
          <w:tcPr>
            <w:tcW w:w="1474" w:type="dxa"/>
            <w:noWrap w:val="0"/>
            <w:vAlign w:val="top"/>
          </w:tcPr>
          <w:p>
            <w:pPr>
              <w:pStyle w:val="63"/>
              <w:rPr>
                <w:rFonts w:cs="Arial"/>
                <w:lang w:eastAsia="ja-JP"/>
              </w:rPr>
            </w:pPr>
          </w:p>
        </w:tc>
        <w:tc>
          <w:tcPr>
            <w:tcW w:w="1871" w:type="dxa"/>
            <w:noWrap w:val="0"/>
            <w:vAlign w:val="top"/>
          </w:tcPr>
          <w:p>
            <w:pPr>
              <w:pStyle w:val="63"/>
              <w:rPr>
                <w:rFonts w:cs="Arial"/>
                <w:lang w:eastAsia="ja-JP"/>
              </w:rPr>
            </w:pPr>
            <w:r>
              <w:rPr>
                <w:rFonts w:cs="Arial"/>
                <w:lang w:eastAsia="ja-JP"/>
              </w:rPr>
              <w:t>9.3.3.34</w:t>
            </w:r>
          </w:p>
        </w:tc>
        <w:tc>
          <w:tcPr>
            <w:tcW w:w="2891" w:type="dxa"/>
            <w:noWrap w:val="0"/>
            <w:vAlign w:val="top"/>
          </w:tcPr>
          <w:p>
            <w:pPr>
              <w:pStyle w:val="63"/>
              <w:rPr>
                <w:rFonts w:cs="Arial"/>
                <w:lang w:eastAsia="ja-JP"/>
              </w:rPr>
            </w:pPr>
          </w:p>
        </w:tc>
      </w:tr>
    </w:tbl>
    <w:p>
      <w:pPr>
        <w:rPr>
          <w:rFonts w:hint="eastAsia"/>
          <w:sz w:val="20"/>
          <w:szCs w:val="20"/>
          <w:lang w:val="en-US" w:eastAsia="zh-CN"/>
        </w:rPr>
      </w:pPr>
    </w:p>
    <w:p>
      <w:pPr>
        <w:rPr>
          <w:rFonts w:hint="default"/>
          <w:sz w:val="20"/>
          <w:szCs w:val="20"/>
          <w:lang w:val="en-US" w:eastAsia="zh-CN"/>
        </w:rPr>
      </w:pPr>
      <w:r>
        <w:rPr>
          <w:rFonts w:hint="eastAsia"/>
          <w:sz w:val="20"/>
          <w:szCs w:val="20"/>
          <w:lang w:val="en-US" w:eastAsia="zh-CN"/>
        </w:rPr>
        <w:t>-----------------------------------------------------------TS 38.413-------------------------------------------------------------------------</w:t>
      </w:r>
    </w:p>
    <w:p>
      <w:pPr>
        <w:rPr>
          <w:rFonts w:hint="eastAsia"/>
          <w:b/>
          <w:bCs w:val="0"/>
          <w:lang w:val="en-US" w:eastAsia="zh-CN"/>
        </w:rPr>
      </w:pPr>
      <w:r>
        <w:rPr>
          <w:rFonts w:hint="eastAsia"/>
          <w:b/>
          <w:bCs/>
          <w:u w:val="none"/>
          <w:lang w:val="en-US" w:eastAsia="zh-CN"/>
        </w:rPr>
        <w:t xml:space="preserve">Proposal 1: </w:t>
      </w:r>
      <w:r>
        <w:rPr>
          <w:rFonts w:hint="eastAsia" w:eastAsia="宋体"/>
          <w:b/>
          <w:bCs w:val="0"/>
          <w:lang w:val="en-US" w:eastAsia="zh-CN"/>
        </w:rPr>
        <w:t xml:space="preserve"> T</w:t>
      </w:r>
      <w:r>
        <w:rPr>
          <w:rFonts w:hint="eastAsia"/>
          <w:b/>
          <w:bCs w:val="0"/>
          <w:lang w:val="en-US" w:eastAsia="zh-CN"/>
        </w:rPr>
        <w:t>o be specific, the Inter-system SON Configuration can be reused for inter-system load balancing.</w:t>
      </w:r>
    </w:p>
    <w:p>
      <w:pPr>
        <w:rPr>
          <w:rFonts w:hint="eastAsia"/>
          <w:lang w:val="en-US" w:eastAsia="zh-CN"/>
        </w:rPr>
      </w:pPr>
      <w:r>
        <w:rPr>
          <w:rFonts w:hint="eastAsia"/>
          <w:b w:val="0"/>
          <w:bCs/>
          <w:lang w:val="en-US" w:eastAsia="zh-CN"/>
        </w:rPr>
        <w:t xml:space="preserve">It was agreed that both event based reporting and periodic reporting could be supported for inter-system load balancing. In addition, as the Resource Status Reporting Initiation procedure has been introduced in NR, the similar principle can be used in inter-system load balancing, i.e. the eNB/gNB may request the reporting of load measurements over the S1/NG interface, and the gNB/eNB shall response over the NG/S1 interface. </w:t>
      </w:r>
      <w:r>
        <w:rPr>
          <w:rFonts w:hint="eastAsia"/>
          <w:lang w:val="en-US" w:eastAsia="zh-CN"/>
        </w:rPr>
        <w:t>Therefore, th</w:t>
      </w:r>
      <w:r>
        <w:t xml:space="preserve">e </w:t>
      </w:r>
      <w:r>
        <w:rPr>
          <w:rFonts w:hint="eastAsia"/>
          <w:lang w:val="en-US" w:eastAsia="zh-CN"/>
        </w:rPr>
        <w:t xml:space="preserve">IE </w:t>
      </w:r>
      <w:r>
        <w:rPr>
          <w:i/>
        </w:rPr>
        <w:t>Inter-system SON Information</w:t>
      </w:r>
      <w:r>
        <w:t xml:space="preserve"> </w:t>
      </w:r>
      <w:r>
        <w:rPr>
          <w:rFonts w:hint="eastAsia"/>
          <w:lang w:val="en-US" w:eastAsia="zh-CN"/>
        </w:rPr>
        <w:t>can be extended to the IE</w:t>
      </w:r>
      <w:r>
        <w:t xml:space="preserve"> </w:t>
      </w:r>
      <w:r>
        <w:rPr>
          <w:i/>
        </w:rPr>
        <w:t>Inter-system SON Information Request</w:t>
      </w:r>
      <w:r>
        <w:t xml:space="preserve"> </w:t>
      </w:r>
      <w:r>
        <w:rPr>
          <w:rFonts w:hint="eastAsia"/>
          <w:lang w:val="en-US" w:eastAsia="zh-CN"/>
        </w:rPr>
        <w:t>and the IE</w:t>
      </w:r>
      <w:r>
        <w:t xml:space="preserve"> </w:t>
      </w:r>
      <w:r>
        <w:rPr>
          <w:i/>
        </w:rPr>
        <w:t>Inter-system SON Information Reply</w:t>
      </w:r>
      <w:r>
        <w:t xml:space="preserve"> IE</w:t>
      </w:r>
      <w:r>
        <w:rPr>
          <w:rFonts w:hint="eastAsia"/>
          <w:lang w:val="en-US" w:eastAsia="zh-CN"/>
        </w:rPr>
        <w:t>.</w:t>
      </w:r>
    </w:p>
    <w:p>
      <w:pPr>
        <w:rPr>
          <w:rFonts w:hint="default"/>
          <w:b/>
          <w:bCs w:val="0"/>
          <w:lang w:val="en-US" w:eastAsia="zh-CN"/>
        </w:rPr>
      </w:pPr>
      <w:bookmarkStart w:id="29" w:name="OLE_LINK7"/>
      <w:r>
        <w:rPr>
          <w:rFonts w:hint="eastAsia"/>
          <w:b/>
          <w:bCs w:val="0"/>
          <w:lang w:val="en-US" w:eastAsia="zh-CN"/>
        </w:rPr>
        <w:t xml:space="preserve">Proposal 2: </w:t>
      </w:r>
      <w:r>
        <w:rPr>
          <w:b/>
        </w:rPr>
        <w:t>It is proposed to</w:t>
      </w:r>
      <w:r>
        <w:rPr>
          <w:rFonts w:hint="eastAsia" w:eastAsia="宋体"/>
          <w:b/>
          <w:lang w:val="en-US" w:eastAsia="zh-CN"/>
        </w:rPr>
        <w:t xml:space="preserve"> </w:t>
      </w:r>
      <w:r>
        <w:rPr>
          <w:rFonts w:hint="eastAsia"/>
          <w:b/>
        </w:rPr>
        <w:t xml:space="preserve">extend the </w:t>
      </w:r>
      <w:r>
        <w:rPr>
          <w:rFonts w:hint="eastAsia"/>
          <w:b/>
          <w:lang w:val="en-US" w:eastAsia="zh-CN"/>
        </w:rPr>
        <w:t xml:space="preserve">IE </w:t>
      </w:r>
      <w:r>
        <w:rPr>
          <w:rFonts w:hint="eastAsia"/>
          <w:b/>
          <w:i/>
          <w:iCs/>
        </w:rPr>
        <w:t>Inter-system SON Information</w:t>
      </w:r>
      <w:r>
        <w:rPr>
          <w:rFonts w:hint="eastAsia"/>
          <w:b/>
        </w:rPr>
        <w:t xml:space="preserve"> </w:t>
      </w:r>
      <w:r>
        <w:rPr>
          <w:rFonts w:hint="eastAsia"/>
          <w:b/>
          <w:lang w:val="en-US" w:eastAsia="zh-CN"/>
        </w:rPr>
        <w:t>to</w:t>
      </w:r>
      <w:r>
        <w:rPr>
          <w:rFonts w:hint="eastAsia"/>
          <w:b/>
        </w:rPr>
        <w:t xml:space="preserve"> the </w:t>
      </w:r>
      <w:r>
        <w:rPr>
          <w:rFonts w:hint="eastAsia"/>
          <w:b/>
          <w:lang w:val="en-US" w:eastAsia="zh-CN"/>
        </w:rPr>
        <w:t xml:space="preserve">IE </w:t>
      </w:r>
      <w:r>
        <w:rPr>
          <w:rFonts w:hint="eastAsia"/>
          <w:b/>
          <w:i/>
          <w:iCs/>
        </w:rPr>
        <w:t>Inter-system SON Information Request</w:t>
      </w:r>
      <w:r>
        <w:rPr>
          <w:rFonts w:hint="eastAsia"/>
          <w:b/>
          <w:i/>
          <w:iCs/>
          <w:lang w:val="en-US" w:eastAsia="zh-CN"/>
        </w:rPr>
        <w:t xml:space="preserve"> </w:t>
      </w:r>
      <w:r>
        <w:rPr>
          <w:rFonts w:hint="eastAsia"/>
          <w:b/>
        </w:rPr>
        <w:t>and the</w:t>
      </w:r>
      <w:r>
        <w:rPr>
          <w:rFonts w:hint="eastAsia"/>
          <w:b/>
          <w:lang w:val="en-US" w:eastAsia="zh-CN"/>
        </w:rPr>
        <w:t xml:space="preserve"> IE</w:t>
      </w:r>
      <w:r>
        <w:rPr>
          <w:rFonts w:hint="eastAsia"/>
          <w:b/>
        </w:rPr>
        <w:t xml:space="preserve"> </w:t>
      </w:r>
      <w:r>
        <w:rPr>
          <w:rFonts w:hint="eastAsia"/>
          <w:b/>
          <w:i/>
          <w:iCs/>
        </w:rPr>
        <w:t>Inter-system SON Information Reply</w:t>
      </w:r>
      <w:r>
        <w:rPr>
          <w:b/>
        </w:rPr>
        <w:t>.</w:t>
      </w:r>
      <w:r>
        <w:rPr>
          <w:rFonts w:hint="eastAsia" w:eastAsia="宋体"/>
          <w:b/>
          <w:lang w:val="en-US" w:eastAsia="zh-CN"/>
        </w:rPr>
        <w:t xml:space="preserve"> </w:t>
      </w:r>
    </w:p>
    <w:bookmarkEnd w:id="29"/>
    <w:p>
      <w:pPr>
        <w:rPr>
          <w:rFonts w:hint="eastAsia"/>
          <w:b w:val="0"/>
          <w:bCs/>
          <w:lang w:val="en-US" w:eastAsia="zh-CN"/>
        </w:rPr>
      </w:pPr>
      <w:r>
        <w:rPr>
          <w:rFonts w:hint="eastAsia"/>
          <w:lang w:val="en-US" w:eastAsia="zh-CN"/>
        </w:rPr>
        <w:t xml:space="preserve">Considering the other load metrics for exchange between LTE and NR, after checking the IE tables of Resource Status Update message over X2 and Xn, it can be found that the TNL related load and Radio Resource Status have similar definitions in LTE and NR. However, </w:t>
      </w:r>
      <w:r>
        <w:rPr>
          <w:rFonts w:hint="eastAsia"/>
          <w:b w:val="0"/>
          <w:bCs/>
          <w:lang w:val="en-US" w:eastAsia="zh-CN"/>
        </w:rPr>
        <w:t xml:space="preserve">the value format and granularity of these IEs are not same. </w:t>
      </w:r>
    </w:p>
    <w:p>
      <w:pPr>
        <w:rPr>
          <w:rFonts w:hint="eastAsia"/>
          <w:b w:val="0"/>
          <w:bCs/>
          <w:lang w:val="en-US" w:eastAsia="zh-CN"/>
        </w:rPr>
      </w:pPr>
      <w:r>
        <w:rPr>
          <w:rFonts w:hint="eastAsia"/>
          <w:b w:val="0"/>
          <w:bCs/>
          <w:lang w:val="en-US" w:eastAsia="zh-CN"/>
        </w:rPr>
        <w:t>For TNL related load, the corresponding IE in LTE, i.e. S1 TNL Load Indicator, is to indicate the status of S1 TNL load by using low load, medium load, high load and overloaded. While the corresponding IE in NR, i.e. TNL Capacity Indicator, is to indicate the offered and available capacity of Transport Network by using the integer value. In addition, for Radio Resource Status, the corresponding IE in LTE is only in cell level, while the corresponding IE in NR could be in both cell level and beam level.</w:t>
      </w:r>
    </w:p>
    <w:p>
      <w:pPr>
        <w:rPr>
          <w:rFonts w:hint="eastAsia"/>
          <w:b w:val="0"/>
          <w:bCs/>
          <w:lang w:val="en-US" w:eastAsia="zh-CN"/>
        </w:rPr>
      </w:pPr>
      <w:r>
        <w:rPr>
          <w:rFonts w:hint="eastAsia"/>
          <w:b w:val="0"/>
          <w:bCs/>
          <w:lang w:val="en-US" w:eastAsia="zh-CN"/>
        </w:rPr>
        <w:t xml:space="preserve">Therefore, it is not possible for the eNB and gNB to exchange the load metrics directly. As the objective of the inter-system load balancing is to make the source gNB/eNB be aware of the load status of the target eNB/gNB. For the reporting direction from NR to LTE, the load metrics in NR, the Number of active UEs, RRC Connections and TNL Capacity Indicator, could be considered as more straightaway for the eNB to obtain the load status of target gNB. </w:t>
      </w:r>
    </w:p>
    <w:p>
      <w:pPr>
        <w:rPr>
          <w:rFonts w:hint="eastAsia"/>
          <w:b w:val="0"/>
          <w:bCs/>
          <w:lang w:val="en-US" w:eastAsia="zh-CN"/>
        </w:rPr>
      </w:pPr>
      <w:r>
        <w:rPr>
          <w:rFonts w:hint="eastAsia"/>
          <w:b w:val="0"/>
          <w:bCs/>
          <w:lang w:val="en-US" w:eastAsia="zh-CN"/>
        </w:rPr>
        <w:t>For the reporting direction form LTE to NR, in addition to the Composite Available Capacity Group. whether the other load metrics of LTE should be exchanged from eNB to gNB is FFS.</w:t>
      </w:r>
    </w:p>
    <w:p>
      <w:pPr>
        <w:rPr>
          <w:rFonts w:hint="default"/>
          <w:b/>
          <w:bCs w:val="0"/>
          <w:lang w:val="en-US" w:eastAsia="zh-CN"/>
        </w:rPr>
      </w:pPr>
      <w:r>
        <w:rPr>
          <w:rFonts w:hint="eastAsia"/>
          <w:b/>
          <w:bCs/>
          <w:u w:val="none"/>
          <w:lang w:val="en-US" w:eastAsia="zh-CN"/>
        </w:rPr>
        <w:t xml:space="preserve">Proposal 3: </w:t>
      </w:r>
      <w:r>
        <w:rPr>
          <w:rFonts w:hint="eastAsia" w:eastAsia="宋体"/>
          <w:b/>
          <w:bCs w:val="0"/>
          <w:lang w:val="en-US" w:eastAsia="zh-CN"/>
        </w:rPr>
        <w:t xml:space="preserve"> </w:t>
      </w:r>
      <w:r>
        <w:rPr>
          <w:rFonts w:hint="eastAsia"/>
          <w:b/>
          <w:bCs w:val="0"/>
          <w:lang w:val="en-US" w:eastAsia="zh-CN"/>
        </w:rPr>
        <w:t>In addition to the Composite Available Capacity Group, the Number of active UEs, RRC Connections, and TNL Capacity Indicator could be considered to exchange from gNB to eNB.</w:t>
      </w:r>
    </w:p>
    <w:bookmarkEnd w:id="3"/>
    <w:bookmarkEnd w:id="4"/>
    <w:bookmarkEnd w:id="5"/>
    <w:bookmarkEnd w:id="6"/>
    <w:p>
      <w:pPr>
        <w:pStyle w:val="2"/>
        <w:rPr>
          <w:lang w:val="en-US"/>
        </w:rPr>
      </w:pPr>
      <w:r>
        <w:rPr>
          <w:rFonts w:hint="eastAsia" w:eastAsia="宋体"/>
          <w:lang w:val="en-US" w:eastAsia="zh-CN"/>
        </w:rPr>
        <w:t>Conclusion</w:t>
      </w:r>
    </w:p>
    <w:p>
      <w:pPr>
        <w:rPr>
          <w:rFonts w:hint="eastAsia"/>
          <w:b/>
          <w:bCs w:val="0"/>
          <w:lang w:val="en-US" w:eastAsia="zh-CN"/>
        </w:rPr>
      </w:pPr>
      <w:r>
        <w:rPr>
          <w:rFonts w:hint="eastAsia"/>
          <w:b/>
          <w:bCs/>
          <w:u w:val="none"/>
          <w:lang w:val="en-US" w:eastAsia="zh-CN"/>
        </w:rPr>
        <w:t xml:space="preserve">Proposal 1: </w:t>
      </w:r>
      <w:r>
        <w:rPr>
          <w:rFonts w:hint="eastAsia" w:eastAsia="宋体"/>
          <w:b/>
          <w:bCs w:val="0"/>
          <w:lang w:val="en-US" w:eastAsia="zh-CN"/>
        </w:rPr>
        <w:t xml:space="preserve"> T</w:t>
      </w:r>
      <w:r>
        <w:rPr>
          <w:rFonts w:hint="eastAsia"/>
          <w:b/>
          <w:bCs w:val="0"/>
          <w:lang w:val="en-US" w:eastAsia="zh-CN"/>
        </w:rPr>
        <w:t>o be specific, the Inter-system SON Configuration can be reused for inter-system load balancing.</w:t>
      </w:r>
    </w:p>
    <w:p>
      <w:pPr>
        <w:rPr>
          <w:rFonts w:hint="default"/>
          <w:b/>
          <w:bCs w:val="0"/>
          <w:lang w:val="en-US" w:eastAsia="zh-CN"/>
        </w:rPr>
      </w:pPr>
      <w:r>
        <w:rPr>
          <w:rFonts w:hint="eastAsia"/>
          <w:b/>
          <w:bCs w:val="0"/>
          <w:lang w:val="en-US" w:eastAsia="zh-CN"/>
        </w:rPr>
        <w:t xml:space="preserve">Proposal 2: </w:t>
      </w:r>
      <w:r>
        <w:rPr>
          <w:b/>
        </w:rPr>
        <w:t>It is proposed to</w:t>
      </w:r>
      <w:r>
        <w:rPr>
          <w:rFonts w:hint="eastAsia" w:eastAsia="宋体"/>
          <w:b/>
          <w:lang w:val="en-US" w:eastAsia="zh-CN"/>
        </w:rPr>
        <w:t xml:space="preserve"> </w:t>
      </w:r>
      <w:r>
        <w:rPr>
          <w:rFonts w:hint="eastAsia"/>
          <w:b/>
        </w:rPr>
        <w:t xml:space="preserve">extend the </w:t>
      </w:r>
      <w:r>
        <w:rPr>
          <w:rFonts w:hint="eastAsia"/>
          <w:b/>
          <w:lang w:val="en-US" w:eastAsia="zh-CN"/>
        </w:rPr>
        <w:t xml:space="preserve">IE </w:t>
      </w:r>
      <w:r>
        <w:rPr>
          <w:rFonts w:hint="eastAsia"/>
          <w:b/>
          <w:i/>
          <w:iCs/>
        </w:rPr>
        <w:t>Inter-system SON Information</w:t>
      </w:r>
      <w:r>
        <w:rPr>
          <w:rFonts w:hint="eastAsia"/>
          <w:b/>
        </w:rPr>
        <w:t xml:space="preserve"> </w:t>
      </w:r>
      <w:r>
        <w:rPr>
          <w:rFonts w:hint="eastAsia"/>
          <w:b/>
          <w:lang w:val="en-US" w:eastAsia="zh-CN"/>
        </w:rPr>
        <w:t>to</w:t>
      </w:r>
      <w:r>
        <w:rPr>
          <w:rFonts w:hint="eastAsia"/>
          <w:b/>
        </w:rPr>
        <w:t xml:space="preserve"> the </w:t>
      </w:r>
      <w:r>
        <w:rPr>
          <w:rFonts w:hint="eastAsia"/>
          <w:b/>
          <w:lang w:val="en-US" w:eastAsia="zh-CN"/>
        </w:rPr>
        <w:t xml:space="preserve">IE </w:t>
      </w:r>
      <w:r>
        <w:rPr>
          <w:rFonts w:hint="eastAsia"/>
          <w:b/>
          <w:i/>
          <w:iCs/>
        </w:rPr>
        <w:t>Inter-system SON Information Request</w:t>
      </w:r>
      <w:r>
        <w:rPr>
          <w:rFonts w:hint="eastAsia"/>
          <w:b/>
          <w:i/>
          <w:iCs/>
          <w:lang w:val="en-US" w:eastAsia="zh-CN"/>
        </w:rPr>
        <w:t xml:space="preserve"> </w:t>
      </w:r>
      <w:r>
        <w:rPr>
          <w:rFonts w:hint="eastAsia"/>
          <w:b/>
        </w:rPr>
        <w:t>and the</w:t>
      </w:r>
      <w:r>
        <w:rPr>
          <w:rFonts w:hint="eastAsia"/>
          <w:b/>
          <w:lang w:val="en-US" w:eastAsia="zh-CN"/>
        </w:rPr>
        <w:t xml:space="preserve"> IE</w:t>
      </w:r>
      <w:r>
        <w:rPr>
          <w:rFonts w:hint="eastAsia"/>
          <w:b/>
        </w:rPr>
        <w:t xml:space="preserve"> </w:t>
      </w:r>
      <w:r>
        <w:rPr>
          <w:rFonts w:hint="eastAsia"/>
          <w:b/>
          <w:i/>
          <w:iCs/>
        </w:rPr>
        <w:t>Inter-system SON Information Reply</w:t>
      </w:r>
      <w:r>
        <w:rPr>
          <w:b/>
        </w:rPr>
        <w:t>.</w:t>
      </w:r>
      <w:r>
        <w:rPr>
          <w:rFonts w:hint="eastAsia" w:eastAsia="宋体"/>
          <w:b/>
          <w:lang w:val="en-US" w:eastAsia="zh-CN"/>
        </w:rPr>
        <w:t xml:space="preserve"> </w:t>
      </w:r>
    </w:p>
    <w:p>
      <w:pPr>
        <w:rPr>
          <w:rFonts w:hint="default"/>
          <w:b/>
          <w:bCs w:val="0"/>
          <w:lang w:val="en-US" w:eastAsia="zh-CN"/>
        </w:rPr>
      </w:pPr>
      <w:r>
        <w:rPr>
          <w:rFonts w:hint="eastAsia"/>
          <w:b/>
          <w:bCs/>
          <w:u w:val="none"/>
          <w:lang w:val="en-US" w:eastAsia="zh-CN"/>
        </w:rPr>
        <w:t xml:space="preserve">Proposal 3: </w:t>
      </w:r>
      <w:r>
        <w:rPr>
          <w:rFonts w:hint="eastAsia" w:eastAsia="宋体"/>
          <w:b/>
          <w:bCs w:val="0"/>
          <w:lang w:val="en-US" w:eastAsia="zh-CN"/>
        </w:rPr>
        <w:t xml:space="preserve"> </w:t>
      </w:r>
      <w:r>
        <w:rPr>
          <w:rFonts w:hint="eastAsia"/>
          <w:b/>
          <w:bCs w:val="0"/>
          <w:lang w:val="en-US" w:eastAsia="zh-CN"/>
        </w:rPr>
        <w:t>In addition to the Composite Available Capacity Group, the Number of active UEs, RRC Connections, and TNL Capacity Indicator could be considered to exchange from gNB to eNB.</w:t>
      </w:r>
    </w:p>
    <w:p>
      <w:pPr>
        <w:rPr>
          <w:rFonts w:hint="default"/>
          <w:b/>
          <w:bCs/>
          <w:u w:val="none"/>
          <w:lang w:val="en-US" w:eastAsia="zh-CN"/>
        </w:rPr>
      </w:pPr>
      <w:r>
        <w:rPr>
          <w:rFonts w:hint="eastAsia"/>
          <w:b/>
          <w:bCs/>
          <w:u w:val="none"/>
          <w:lang w:val="en-US" w:eastAsia="zh-CN"/>
        </w:rPr>
        <w:t>The corresponding TPs are given in [3] and [4] respectively.</w:t>
      </w:r>
    </w:p>
    <w:p>
      <w:pPr>
        <w:pStyle w:val="2"/>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30" w:name="OLE_LINK1"/>
      <w:r>
        <w:rPr>
          <w:rFonts w:hint="eastAsia"/>
          <w:lang w:val="en-US" w:eastAsia="zh-CN"/>
        </w:rPr>
        <w:t>3GPP TS 38.413 v16.3.0</w:t>
      </w:r>
      <w:bookmarkStart w:id="31" w:name="_GoBack"/>
      <w:bookmarkEnd w:id="31"/>
    </w:p>
    <w:bookmarkEnd w:id="30"/>
    <w:p>
      <w:pPr>
        <w:numPr>
          <w:ilvl w:val="0"/>
          <w:numId w:val="11"/>
        </w:numPr>
        <w:ind w:left="0" w:leftChars="0" w:firstLine="0" w:firstLineChars="0"/>
        <w:rPr>
          <w:rFonts w:hint="eastAsia"/>
          <w:iCs/>
          <w:lang w:val="en-US" w:eastAsia="zh-CN"/>
        </w:rPr>
      </w:pPr>
      <w:r>
        <w:rPr>
          <w:rFonts w:hint="eastAsia"/>
          <w:lang w:val="en-US" w:eastAsia="zh-CN"/>
        </w:rPr>
        <w:t>R3-206680 TP for BL CR 38.300 on Inter-system Load Balancing  ZTE</w:t>
      </w:r>
    </w:p>
    <w:p>
      <w:pPr>
        <w:numPr>
          <w:ilvl w:val="0"/>
          <w:numId w:val="11"/>
        </w:numPr>
        <w:ind w:left="0" w:leftChars="0" w:firstLine="0" w:firstLineChars="0"/>
        <w:rPr>
          <w:rFonts w:hint="eastAsia"/>
          <w:iCs/>
          <w:lang w:val="en-US" w:eastAsia="zh-CN"/>
        </w:rPr>
      </w:pPr>
      <w:r>
        <w:rPr>
          <w:rFonts w:hint="eastAsia"/>
          <w:lang w:val="en-US" w:eastAsia="zh-CN"/>
        </w:rPr>
        <w:t>R3-206681 TP for BL CR 38.413 on Inter-system Load Balancing  ZTE</w:t>
      </w: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06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8B51789"/>
    <w:rsid w:val="08C64728"/>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4CD5A53"/>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12142F"/>
    <w:rsid w:val="1A9E2F24"/>
    <w:rsid w:val="1AB030FC"/>
    <w:rsid w:val="1ABD33E6"/>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387E0D"/>
    <w:rsid w:val="1F5348EF"/>
    <w:rsid w:val="1F656847"/>
    <w:rsid w:val="1FD56E16"/>
    <w:rsid w:val="20255CCF"/>
    <w:rsid w:val="205158FB"/>
    <w:rsid w:val="20736B2F"/>
    <w:rsid w:val="20A43B92"/>
    <w:rsid w:val="20DA4D43"/>
    <w:rsid w:val="20F37746"/>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500090"/>
    <w:rsid w:val="28DB3174"/>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1E42A6"/>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317D88"/>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BE87234"/>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42342CD"/>
    <w:rsid w:val="743470A1"/>
    <w:rsid w:val="74623FB8"/>
    <w:rsid w:val="7469403A"/>
    <w:rsid w:val="748A6B51"/>
    <w:rsid w:val="74A0353A"/>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0</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2020-10-23T06:28:09Z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